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C33" w:rsidRDefault="00000389" w:rsidP="00000389">
      <w:pPr>
        <w:spacing w:after="0" w:line="240" w:lineRule="auto"/>
        <w:rPr>
          <w:rFonts w:ascii="AvenirNext LT Pro Regular" w:hAnsi="AvenirNext LT Pro Regular"/>
          <w:b/>
          <w:sz w:val="28"/>
        </w:rPr>
      </w:pPr>
      <w:bookmarkStart w:id="0" w:name="_Hlk508280137"/>
      <w:r w:rsidRPr="00000389">
        <w:rPr>
          <w:rFonts w:ascii="AvenirNext LT Pro Regular" w:hAnsi="AvenirNext LT Pro Regular"/>
          <w:b/>
          <w:sz w:val="28"/>
        </w:rPr>
        <w:t xml:space="preserve">Honors </w:t>
      </w:r>
      <w:r w:rsidR="008C41B4">
        <w:rPr>
          <w:rFonts w:ascii="AvenirNext LT Pro Regular" w:hAnsi="AvenirNext LT Pro Regular"/>
          <w:b/>
          <w:sz w:val="28"/>
        </w:rPr>
        <w:t>Special Topics</w:t>
      </w:r>
      <w:r w:rsidRPr="00000389">
        <w:rPr>
          <w:rFonts w:ascii="AvenirNext LT Pro Regular" w:hAnsi="AvenirNext LT Pro Regular"/>
          <w:b/>
          <w:sz w:val="28"/>
        </w:rPr>
        <w:t xml:space="preserve"> Courses for Fall 2018 </w:t>
      </w:r>
    </w:p>
    <w:p w:rsidR="008C41B4" w:rsidRDefault="008C41B4" w:rsidP="00000389">
      <w:pPr>
        <w:spacing w:after="0" w:line="240" w:lineRule="auto"/>
        <w:rPr>
          <w:rFonts w:ascii="AvenirNext LT Pro Regular" w:hAnsi="AvenirNext LT Pro Regular"/>
          <w:b/>
          <w:sz w:val="28"/>
        </w:rPr>
      </w:pPr>
    </w:p>
    <w:p w:rsidR="004076D8" w:rsidRDefault="004076D8" w:rsidP="008C41B4">
      <w:pPr>
        <w:spacing w:after="0" w:line="240" w:lineRule="auto"/>
        <w:rPr>
          <w:rFonts w:ascii="AvenirNext LT Pro Regular" w:hAnsi="AvenirNext LT Pro Regular"/>
          <w:b/>
          <w:sz w:val="28"/>
          <w:u w:val="single"/>
        </w:rPr>
      </w:pPr>
    </w:p>
    <w:p w:rsidR="00360271" w:rsidRDefault="00360271" w:rsidP="004C60C9">
      <w:pPr>
        <w:spacing w:after="0" w:line="240" w:lineRule="auto"/>
        <w:jc w:val="both"/>
        <w:rPr>
          <w:rFonts w:ascii="AvenirNext LT Pro Regular" w:hAnsi="AvenirNext LT Pro Regular" w:cs="Times New Roman"/>
        </w:rPr>
      </w:pPr>
      <w:r>
        <w:rPr>
          <w:rFonts w:ascii="AvenirNext LT Pro Regular" w:hAnsi="AvenirNext LT Pro Regular"/>
          <w:b/>
          <w:sz w:val="28"/>
          <w:u w:val="single"/>
        </w:rPr>
        <w:t>Humanities Disciplinary</w:t>
      </w:r>
    </w:p>
    <w:p w:rsidR="00360271" w:rsidRDefault="00360271" w:rsidP="004C60C9">
      <w:pPr>
        <w:spacing w:after="0" w:line="240" w:lineRule="auto"/>
        <w:jc w:val="both"/>
        <w:rPr>
          <w:rFonts w:ascii="AvenirNext LT Pro Regular" w:hAnsi="AvenirNext LT Pro Regular" w:cs="Times New Roman"/>
        </w:rPr>
      </w:pPr>
    </w:p>
    <w:p w:rsidR="00360271" w:rsidRDefault="00360271" w:rsidP="004C60C9">
      <w:pPr>
        <w:spacing w:after="0" w:line="240" w:lineRule="auto"/>
        <w:jc w:val="both"/>
        <w:rPr>
          <w:rFonts w:ascii="AvenirNext LT Pro Regular" w:hAnsi="AvenirNext LT Pro Regular" w:cs="Times New Roman"/>
          <w:b/>
        </w:rPr>
      </w:pPr>
      <w:bookmarkStart w:id="1" w:name="_Hlk508280205"/>
      <w:r>
        <w:rPr>
          <w:rFonts w:ascii="AvenirNext LT Pro Regular" w:hAnsi="AvenirNext LT Pro Regular" w:cs="Times New Roman"/>
          <w:b/>
        </w:rPr>
        <w:t xml:space="preserve">HONS 281 </w:t>
      </w:r>
      <w:bookmarkEnd w:id="1"/>
      <w:r>
        <w:rPr>
          <w:rFonts w:ascii="AvenirNext LT Pro Regular" w:hAnsi="AvenirNext LT Pro Regular" w:cs="Times New Roman"/>
          <w:b/>
        </w:rPr>
        <w:t xml:space="preserve">Myth and War in Context (Professor Samuel Flores) </w:t>
      </w:r>
    </w:p>
    <w:p w:rsidR="00360271" w:rsidRPr="00D1131B" w:rsidRDefault="00360271" w:rsidP="004C60C9">
      <w:pPr>
        <w:spacing w:after="0" w:line="240" w:lineRule="auto"/>
        <w:jc w:val="both"/>
        <w:rPr>
          <w:rFonts w:ascii="AvenirNext LT Pro Regular" w:hAnsi="AvenirNext LT Pro Regular"/>
        </w:rPr>
      </w:pPr>
      <w:r w:rsidRPr="00D1131B">
        <w:rPr>
          <w:rFonts w:ascii="AvenirNext LT Pro Regular" w:hAnsi="AvenirNext LT Pro Regular" w:cs="Times New Roman"/>
        </w:rPr>
        <w:t>This course examines the use and appropriation of Greco-Roman mythology in diverse times and places from antiquity to the present, focusing especially on the stories pertaining to the mythical Trojan War. The assigned readings will focus on the topic of war and suffering in literature, evaluating how the primary sources reflect on this question. We will look at how these the Trojan War myths are adapted to their changing contexts. We will begin with the epic poems of Homer (the earliest literary depictions of the Trojan War) and trace the changes in these stories from Greek tragedy and Roman epic through modern appropriations in World War II era European philosophy, post-colonial Caribbean poetry, American film, and 21</w:t>
      </w:r>
      <w:r w:rsidRPr="00D1131B">
        <w:rPr>
          <w:rFonts w:ascii="AvenirNext LT Pro Regular" w:hAnsi="AvenirNext LT Pro Regular" w:cs="Times New Roman"/>
          <w:vertAlign w:val="superscript"/>
        </w:rPr>
        <w:t>st</w:t>
      </w:r>
      <w:r w:rsidRPr="00D1131B">
        <w:rPr>
          <w:rFonts w:ascii="AvenirNext LT Pro Regular" w:hAnsi="AvenirNext LT Pro Regular" w:cs="Times New Roman"/>
        </w:rPr>
        <w:t xml:space="preserve"> century Canadian novel.</w:t>
      </w:r>
    </w:p>
    <w:p w:rsidR="00360271" w:rsidRDefault="00360271" w:rsidP="004C60C9">
      <w:pPr>
        <w:spacing w:after="0" w:line="240" w:lineRule="auto"/>
        <w:jc w:val="both"/>
        <w:rPr>
          <w:rFonts w:ascii="AvenirNext LT Pro Regular" w:hAnsi="AvenirNext LT Pro Regular"/>
          <w:b/>
          <w:sz w:val="28"/>
          <w:u w:val="single"/>
        </w:rPr>
      </w:pPr>
    </w:p>
    <w:p w:rsidR="00360271" w:rsidRDefault="00360271" w:rsidP="004C60C9">
      <w:pPr>
        <w:spacing w:after="0" w:line="240" w:lineRule="auto"/>
        <w:jc w:val="both"/>
        <w:rPr>
          <w:rFonts w:ascii="AvenirNext LT Pro Regular" w:hAnsi="AvenirNext LT Pro Regular"/>
          <w:b/>
          <w:sz w:val="28"/>
          <w:u w:val="single"/>
        </w:rPr>
      </w:pPr>
    </w:p>
    <w:p w:rsidR="008C41B4" w:rsidRDefault="008C41B4" w:rsidP="004C60C9">
      <w:pPr>
        <w:spacing w:after="0" w:line="240" w:lineRule="auto"/>
        <w:jc w:val="both"/>
        <w:rPr>
          <w:rFonts w:ascii="AvenirNext LT Pro Regular" w:hAnsi="AvenirNext LT Pro Regular"/>
          <w:b/>
          <w:sz w:val="28"/>
          <w:u w:val="single"/>
        </w:rPr>
      </w:pPr>
      <w:r>
        <w:rPr>
          <w:rFonts w:ascii="AvenirNext LT Pro Regular" w:hAnsi="AvenirNext LT Pro Regular"/>
          <w:b/>
          <w:sz w:val="28"/>
          <w:u w:val="single"/>
        </w:rPr>
        <w:t>Social Sciences Disciplinary</w:t>
      </w:r>
    </w:p>
    <w:p w:rsidR="008C41B4" w:rsidRDefault="008C41B4" w:rsidP="004C60C9">
      <w:pPr>
        <w:spacing w:after="0" w:line="240" w:lineRule="auto"/>
        <w:jc w:val="both"/>
        <w:rPr>
          <w:rFonts w:ascii="AvenirNext LT Pro Regular" w:hAnsi="AvenirNext LT Pro Regular"/>
          <w:b/>
          <w:sz w:val="28"/>
          <w:u w:val="single"/>
        </w:rPr>
      </w:pPr>
    </w:p>
    <w:p w:rsidR="008C41B4" w:rsidRDefault="004076D8" w:rsidP="004C60C9">
      <w:pPr>
        <w:spacing w:after="0" w:line="240" w:lineRule="auto"/>
        <w:jc w:val="both"/>
        <w:rPr>
          <w:rFonts w:ascii="AvenirNext LT Pro Regular" w:hAnsi="AvenirNext LT Pro Regular"/>
          <w:b/>
        </w:rPr>
      </w:pPr>
      <w:bookmarkStart w:id="2" w:name="_Hlk508280218"/>
      <w:r>
        <w:rPr>
          <w:rFonts w:ascii="AvenirNext LT Pro Regular" w:hAnsi="AvenirNext LT Pro Regular"/>
          <w:b/>
        </w:rPr>
        <w:t>HONS 282</w:t>
      </w:r>
      <w:bookmarkEnd w:id="2"/>
      <w:r>
        <w:rPr>
          <w:rFonts w:ascii="AvenirNext LT Pro Regular" w:hAnsi="AvenirNext LT Pro Regular"/>
          <w:b/>
        </w:rPr>
        <w:t xml:space="preserve"> </w:t>
      </w:r>
      <w:r w:rsidR="008C41B4" w:rsidRPr="008C41B4">
        <w:rPr>
          <w:rFonts w:ascii="AvenirNext LT Pro Regular" w:hAnsi="AvenirNext LT Pro Regular"/>
          <w:b/>
        </w:rPr>
        <w:t>Language and Culture</w:t>
      </w:r>
      <w:r w:rsidR="008C41B4">
        <w:rPr>
          <w:rFonts w:ascii="AvenirNext LT Pro Regular" w:hAnsi="AvenirNext LT Pro Regular"/>
          <w:b/>
        </w:rPr>
        <w:t xml:space="preserve"> (Professor Moore Quinn) </w:t>
      </w:r>
    </w:p>
    <w:p w:rsidR="008C41B4" w:rsidRDefault="008C41B4" w:rsidP="004C60C9">
      <w:pPr>
        <w:spacing w:after="0" w:line="240" w:lineRule="auto"/>
        <w:jc w:val="both"/>
        <w:rPr>
          <w:rFonts w:ascii="AvenirNext LT Pro Regular" w:hAnsi="AvenirNext LT Pro Regular"/>
        </w:rPr>
      </w:pPr>
      <w:r w:rsidRPr="008C41B4">
        <w:rPr>
          <w:rFonts w:ascii="AvenirNext LT Pro Regular" w:hAnsi="AvenirNext LT Pro Regular"/>
        </w:rPr>
        <w:t>This course is an honors version of ANTH 205: Language and Culture. Students study language in its social and cultural context, stressing the relationships between language and the transmission of meaning, worldview, and social identity.</w:t>
      </w:r>
    </w:p>
    <w:p w:rsidR="008C41B4" w:rsidRPr="00BB0C03" w:rsidRDefault="008C41B4" w:rsidP="004C60C9">
      <w:pPr>
        <w:spacing w:after="0" w:line="240" w:lineRule="auto"/>
        <w:jc w:val="both"/>
        <w:rPr>
          <w:rFonts w:ascii="AvenirNext LT Pro Regular" w:hAnsi="AvenirNext LT Pro Regular"/>
        </w:rPr>
      </w:pPr>
    </w:p>
    <w:p w:rsidR="00000389" w:rsidRPr="00000389" w:rsidRDefault="00000389" w:rsidP="004C60C9">
      <w:pPr>
        <w:spacing w:after="0" w:line="240" w:lineRule="auto"/>
        <w:jc w:val="both"/>
        <w:rPr>
          <w:rFonts w:ascii="AvenirNext LT Pro Regular" w:hAnsi="AvenirNext LT Pro Regular"/>
          <w:b/>
          <w:sz w:val="28"/>
        </w:rPr>
      </w:pPr>
    </w:p>
    <w:p w:rsidR="00000389" w:rsidRDefault="00000389" w:rsidP="004C60C9">
      <w:pPr>
        <w:spacing w:after="0" w:line="240" w:lineRule="auto"/>
        <w:jc w:val="both"/>
        <w:rPr>
          <w:rFonts w:ascii="AvenirNext LT Pro Regular" w:hAnsi="AvenirNext LT Pro Regular"/>
          <w:b/>
          <w:sz w:val="28"/>
          <w:u w:val="single"/>
        </w:rPr>
      </w:pPr>
      <w:r w:rsidRPr="00000389">
        <w:rPr>
          <w:rFonts w:ascii="AvenirNext LT Pro Regular" w:hAnsi="AvenirNext LT Pro Regular"/>
          <w:b/>
          <w:sz w:val="28"/>
          <w:u w:val="single"/>
        </w:rPr>
        <w:t>Humanities</w:t>
      </w:r>
      <w:r w:rsidR="00BB0C03">
        <w:rPr>
          <w:rFonts w:ascii="AvenirNext LT Pro Regular" w:hAnsi="AvenirNext LT Pro Regular"/>
          <w:b/>
          <w:sz w:val="28"/>
          <w:u w:val="single"/>
        </w:rPr>
        <w:t xml:space="preserve"> Interdisciplinary</w:t>
      </w:r>
    </w:p>
    <w:p w:rsidR="00000389" w:rsidRPr="00000389" w:rsidRDefault="00000389" w:rsidP="004C60C9">
      <w:pPr>
        <w:spacing w:after="0" w:line="240" w:lineRule="auto"/>
        <w:jc w:val="both"/>
        <w:rPr>
          <w:rFonts w:ascii="AvenirNext LT Pro Regular" w:hAnsi="AvenirNext LT Pro Regular"/>
          <w:b/>
          <w:sz w:val="28"/>
          <w:u w:val="single"/>
        </w:rPr>
      </w:pPr>
    </w:p>
    <w:p w:rsidR="00000389" w:rsidRPr="00000389" w:rsidRDefault="004076D8" w:rsidP="004C60C9">
      <w:pPr>
        <w:spacing w:after="0" w:line="240" w:lineRule="auto"/>
        <w:jc w:val="both"/>
        <w:rPr>
          <w:rFonts w:ascii="AvenirNext LT Pro Regular" w:hAnsi="AvenirNext LT Pro Regular"/>
          <w:b/>
        </w:rPr>
      </w:pPr>
      <w:r>
        <w:rPr>
          <w:rFonts w:ascii="AvenirNext LT Pro Regular" w:hAnsi="AvenirNext LT Pro Regular"/>
          <w:b/>
        </w:rPr>
        <w:t xml:space="preserve">HONS 381 </w:t>
      </w:r>
      <w:r w:rsidR="00000389" w:rsidRPr="00000389">
        <w:rPr>
          <w:rFonts w:ascii="AvenirNext LT Pro Regular" w:hAnsi="AvenirNext LT Pro Regular"/>
          <w:b/>
        </w:rPr>
        <w:t xml:space="preserve">Approaches to Religion: Sacred Sites and Sustainability (Professor Todd LeVasseur) </w:t>
      </w:r>
    </w:p>
    <w:p w:rsidR="00000389" w:rsidRPr="00000389" w:rsidRDefault="00000389" w:rsidP="004C60C9">
      <w:pPr>
        <w:spacing w:after="0" w:line="240" w:lineRule="auto"/>
        <w:jc w:val="both"/>
        <w:rPr>
          <w:rFonts w:ascii="AvenirNext LT Pro Regular" w:eastAsia="Times New Roman" w:hAnsi="AvenirNext LT Pro Regular" w:cs="Times New Roman"/>
        </w:rPr>
      </w:pPr>
      <w:r w:rsidRPr="00000389">
        <w:rPr>
          <w:rFonts w:ascii="AvenirNext LT Pro Regular" w:eastAsia="Times New Roman" w:hAnsi="AvenirNext LT Pro Regular" w:cs="Times New Roman"/>
        </w:rPr>
        <w:t xml:space="preserve">This course provides an overview of how religious studies scholars have approached theorizing and analyzing the phenomena of “sacred sites.”  The course begins with an overview of leading theorists and their theories related to sacred sites, covering Mircea Eliade, Vine Deloria, Emile Durkheim, and others.  Key terms and concepts used to analyze sacred sites will be explored, including concepts such as ritual, pilgrimage, traditional ecological knowledge, and axis mundi.  Students will systematically explore case studies of sacred sites, including Native American, Hindu, Buddhist, neopagan, and </w:t>
      </w:r>
      <w:proofErr w:type="spellStart"/>
      <w:r w:rsidRPr="00000389">
        <w:rPr>
          <w:rFonts w:ascii="AvenirNext LT Pro Regular" w:eastAsia="Times New Roman" w:hAnsi="AvenirNext LT Pro Regular" w:cs="Times New Roman"/>
        </w:rPr>
        <w:t>bioregionalist</w:t>
      </w:r>
      <w:proofErr w:type="spellEnd"/>
      <w:r w:rsidRPr="00000389">
        <w:rPr>
          <w:rFonts w:ascii="AvenirNext LT Pro Regular" w:eastAsia="Times New Roman" w:hAnsi="AvenirNext LT Pro Regular" w:cs="Times New Roman"/>
        </w:rPr>
        <w:t xml:space="preserve"> conceptions of </w:t>
      </w:r>
      <w:proofErr w:type="spellStart"/>
      <w:r w:rsidRPr="00000389">
        <w:rPr>
          <w:rFonts w:ascii="AvenirNext LT Pro Regular" w:eastAsia="Times New Roman" w:hAnsi="AvenirNext LT Pro Regular" w:cs="Times New Roman"/>
        </w:rPr>
        <w:t>sacrality</w:t>
      </w:r>
      <w:proofErr w:type="spellEnd"/>
      <w:r w:rsidRPr="00000389">
        <w:rPr>
          <w:rFonts w:ascii="AvenirNext LT Pro Regular" w:eastAsia="Times New Roman" w:hAnsi="AvenirNext LT Pro Regular" w:cs="Times New Roman"/>
        </w:rPr>
        <w:t xml:space="preserve"> and sacred geographies/sacred places.  The course will then use these explorations to evaluate the role religious adherents may play in supporting efforts for sustainability via the protection and management of sacred sites.  Students are required to journey to </w:t>
      </w:r>
      <w:proofErr w:type="spellStart"/>
      <w:r w:rsidRPr="00000389">
        <w:rPr>
          <w:rFonts w:ascii="AvenirNext LT Pro Regular" w:eastAsia="Times New Roman" w:hAnsi="AvenirNext LT Pro Regular" w:cs="Times New Roman"/>
        </w:rPr>
        <w:t>Earthaven</w:t>
      </w:r>
      <w:proofErr w:type="spellEnd"/>
      <w:r w:rsidRPr="00000389">
        <w:rPr>
          <w:rFonts w:ascii="AvenirNext LT Pro Regular" w:eastAsia="Times New Roman" w:hAnsi="AvenirNext LT Pro Regular" w:cs="Times New Roman"/>
        </w:rPr>
        <w:t xml:space="preserve"> ecovillage outside of Asheville, NC over fall break to learn about how this place is sacred to residents, and how these residents therefore manage and interact with it.</w:t>
      </w:r>
    </w:p>
    <w:p w:rsidR="00000389" w:rsidRPr="00000389" w:rsidRDefault="00000389" w:rsidP="004C60C9">
      <w:pPr>
        <w:spacing w:after="0" w:line="240" w:lineRule="auto"/>
        <w:jc w:val="both"/>
        <w:rPr>
          <w:rFonts w:ascii="AvenirNext LT Pro Regular" w:hAnsi="AvenirNext LT Pro Regular"/>
          <w:b/>
        </w:rPr>
      </w:pPr>
    </w:p>
    <w:p w:rsidR="004076D8" w:rsidRDefault="004076D8" w:rsidP="004C60C9">
      <w:pPr>
        <w:spacing w:after="0" w:line="240" w:lineRule="auto"/>
        <w:jc w:val="both"/>
        <w:rPr>
          <w:rFonts w:ascii="AvenirNext LT Pro Regular" w:hAnsi="AvenirNext LT Pro Regular"/>
          <w:b/>
        </w:rPr>
      </w:pPr>
    </w:p>
    <w:p w:rsidR="00000389" w:rsidRPr="00000389" w:rsidRDefault="004076D8" w:rsidP="004C60C9">
      <w:pPr>
        <w:spacing w:after="0" w:line="240" w:lineRule="auto"/>
        <w:jc w:val="both"/>
        <w:rPr>
          <w:rFonts w:ascii="AvenirNext LT Pro Regular" w:hAnsi="AvenirNext LT Pro Regular"/>
          <w:b/>
        </w:rPr>
      </w:pPr>
      <w:r>
        <w:rPr>
          <w:rFonts w:ascii="AvenirNext LT Pro Regular" w:hAnsi="AvenirNext LT Pro Regular"/>
          <w:b/>
        </w:rPr>
        <w:t xml:space="preserve">HONS 381 </w:t>
      </w:r>
      <w:r w:rsidR="00000389" w:rsidRPr="00000389">
        <w:rPr>
          <w:rFonts w:ascii="AvenirNext LT Pro Regular" w:hAnsi="AvenirNext LT Pro Regular"/>
          <w:b/>
        </w:rPr>
        <w:t>On Thinking (Professor Thomas Nadelhoffer)</w:t>
      </w:r>
    </w:p>
    <w:p w:rsidR="00000389" w:rsidRDefault="00000389" w:rsidP="004C60C9">
      <w:pPr>
        <w:spacing w:after="0" w:line="240" w:lineRule="auto"/>
        <w:jc w:val="both"/>
        <w:rPr>
          <w:rFonts w:ascii="AvenirNext LT Pro Regular" w:eastAsia="Times New Roman" w:hAnsi="AvenirNext LT Pro Regular" w:cs="Times New Roman"/>
          <w:color w:val="000000"/>
        </w:rPr>
      </w:pPr>
      <w:r w:rsidRPr="00000389">
        <w:rPr>
          <w:rFonts w:ascii="AvenirNext LT Pro Regular" w:eastAsia="Times New Roman" w:hAnsi="AvenirNext LT Pro Regular" w:cs="Times New Roman"/>
          <w:color w:val="000000"/>
        </w:rPr>
        <w:t xml:space="preserve">The goal of this course is to explore the nature of thought, broadly construed. In the beginning of the course, we will quickly survey a few revolutions (or paradigm shifts) that occurred in the philosophy of mind and psychology between the seventeenth century and the mid-twentieth century-namely, the development of dualism, behaviorism, mind-brain identity, functionalism, and </w:t>
      </w:r>
      <w:proofErr w:type="spellStart"/>
      <w:r w:rsidRPr="00000389">
        <w:rPr>
          <w:rFonts w:ascii="AvenirNext LT Pro Regular" w:eastAsia="Times New Roman" w:hAnsi="AvenirNext LT Pro Regular" w:cs="Times New Roman"/>
          <w:color w:val="000000"/>
        </w:rPr>
        <w:t>computationalism</w:t>
      </w:r>
      <w:proofErr w:type="spellEnd"/>
      <w:r w:rsidRPr="00000389">
        <w:rPr>
          <w:rFonts w:ascii="AvenirNext LT Pro Regular" w:eastAsia="Times New Roman" w:hAnsi="AvenirNext LT Pro Regular" w:cs="Times New Roman"/>
          <w:color w:val="000000"/>
        </w:rPr>
        <w:t>. Second, we will briefly discuss the so-called "cognitive revolution" and the birth of cognitive science. Third, we will read two popular press books. The first book is by Daniel Kahneman-a cognitive scientist and Nobel Laureate in Economics. The second book is by Richard Thaler (a leading behavioral economist) and Cass Sunstein {a leading political scientist and legal theorist). During this part of the course, we will explore issues like the modularity of the mind, cognitive biases, heuristics, nudges, and other topics that arise in contemporary cognitive science. Finally, we will explore some recent work in robot {or machine) ethics that covers material ranging from moral psychology and free will to the complex relationship between humans and the ever-more-sophisticated technologies we are inventing. The two central questions for this final stretch of the course are: (a) Do we want {and need) so-called "moral machines"? and {b) If so, how do we go about creating them?</w:t>
      </w:r>
    </w:p>
    <w:p w:rsidR="00000389" w:rsidRDefault="00000389" w:rsidP="004C60C9">
      <w:pPr>
        <w:spacing w:after="0" w:line="240" w:lineRule="auto"/>
        <w:jc w:val="both"/>
        <w:rPr>
          <w:rFonts w:ascii="AvenirNext LT Pro Regular" w:eastAsia="Times New Roman" w:hAnsi="AvenirNext LT Pro Regular" w:cs="Times New Roman"/>
          <w:color w:val="000000"/>
        </w:rPr>
      </w:pPr>
    </w:p>
    <w:p w:rsidR="00000389" w:rsidRDefault="004076D8" w:rsidP="004C60C9">
      <w:pPr>
        <w:spacing w:after="0" w:line="240" w:lineRule="auto"/>
        <w:jc w:val="both"/>
        <w:rPr>
          <w:rFonts w:ascii="AvenirNext LT Pro Regular" w:eastAsia="Times New Roman" w:hAnsi="AvenirNext LT Pro Regular" w:cs="Times New Roman"/>
          <w:b/>
          <w:color w:val="000000"/>
        </w:rPr>
      </w:pPr>
      <w:r>
        <w:rPr>
          <w:rFonts w:ascii="AvenirNext LT Pro Regular" w:eastAsia="Times New Roman" w:hAnsi="AvenirNext LT Pro Regular" w:cs="Times New Roman"/>
          <w:b/>
          <w:color w:val="000000"/>
        </w:rPr>
        <w:t xml:space="preserve">HONS 381 </w:t>
      </w:r>
      <w:r w:rsidR="00000389" w:rsidRPr="00BB0C03">
        <w:rPr>
          <w:rFonts w:ascii="AvenirNext LT Pro Regular" w:eastAsia="Times New Roman" w:hAnsi="AvenirNext LT Pro Regular" w:cs="Times New Roman"/>
          <w:b/>
          <w:color w:val="000000"/>
        </w:rPr>
        <w:t>Memory, Politics, and the Holocaust (Professor David Slucki)</w:t>
      </w:r>
    </w:p>
    <w:p w:rsidR="00BB0C03" w:rsidRPr="00BB0C03" w:rsidRDefault="00BB0C03" w:rsidP="004C60C9">
      <w:pPr>
        <w:spacing w:after="0" w:line="240" w:lineRule="auto"/>
        <w:jc w:val="both"/>
        <w:rPr>
          <w:rFonts w:ascii="AvenirNext LT Pro Regular" w:eastAsia="Times New Roman" w:hAnsi="AvenirNext LT Pro Regular" w:cs="Times New Roman"/>
          <w:color w:val="000000"/>
        </w:rPr>
      </w:pPr>
      <w:r w:rsidRPr="00BB0C03">
        <w:rPr>
          <w:rFonts w:ascii="AvenirNext LT Pro Regular" w:eastAsia="Times New Roman" w:hAnsi="AvenirNext LT Pro Regular" w:cs="Times New Roman"/>
          <w:color w:val="000000"/>
        </w:rPr>
        <w:t>This course examines different controversies, tensions, and debates surrounding the Holocaust since the 1940s. It will examine ways that the Nazi persecution of the Jews has been interpreted and reinterpreted by survivors, by Jewish communities, by European, American, and Israeli societies, and by scholars across a range of disciplinary backgrounds. Beginning with controversies around Jewish resettlement in the aftermath of the Holocaust, this course will look at a range of issues that arose in the decades after the Holocaust. We will examine the controversy surrounding restitution and reparations in the 1950s, debates around various forms of justice from the 1940s through the 1990s, historiographical debates about the origin and nature of Nazism and Nazi antisemitism, and controversies about different ways that the Holocaust has come to be remembered and represented. Moreover, we will locate controversies around the Holocaust within the broader historical context and wider historical debates that shaped these debates.</w:t>
      </w:r>
    </w:p>
    <w:p w:rsidR="00BB0C03" w:rsidRDefault="00BB0C03" w:rsidP="004C60C9">
      <w:pPr>
        <w:spacing w:after="0" w:line="240" w:lineRule="auto"/>
        <w:jc w:val="both"/>
        <w:rPr>
          <w:rFonts w:ascii="AvenirNext LT Pro Regular" w:eastAsia="Times New Roman" w:hAnsi="AvenirNext LT Pro Regular" w:cs="Times New Roman"/>
          <w:color w:val="000000"/>
        </w:rPr>
      </w:pPr>
    </w:p>
    <w:p w:rsidR="00BB0C03" w:rsidRPr="00BB0C03" w:rsidRDefault="004076D8" w:rsidP="004C60C9">
      <w:pPr>
        <w:spacing w:after="0" w:line="240" w:lineRule="auto"/>
        <w:jc w:val="both"/>
        <w:rPr>
          <w:rFonts w:ascii="AvenirNext LT Pro Regular" w:eastAsia="Times New Roman" w:hAnsi="AvenirNext LT Pro Regular" w:cs="Times New Roman"/>
          <w:b/>
          <w:szCs w:val="24"/>
        </w:rPr>
      </w:pPr>
      <w:r>
        <w:rPr>
          <w:rFonts w:ascii="AvenirNext LT Pro Regular" w:eastAsia="Times New Roman" w:hAnsi="AvenirNext LT Pro Regular" w:cs="Times New Roman"/>
          <w:b/>
          <w:szCs w:val="24"/>
        </w:rPr>
        <w:t xml:space="preserve">HONS 381 </w:t>
      </w:r>
      <w:r w:rsidR="00BB0C03" w:rsidRPr="00BB0C03">
        <w:rPr>
          <w:rFonts w:ascii="AvenirNext LT Pro Regular" w:eastAsia="Times New Roman" w:hAnsi="AvenirNext LT Pro Regular" w:cs="Times New Roman"/>
          <w:b/>
          <w:szCs w:val="24"/>
        </w:rPr>
        <w:t>Reading the Landscape: Society and Environment in Antiquity (Professor James Newhard)</w:t>
      </w:r>
    </w:p>
    <w:p w:rsidR="00BB0C03" w:rsidRPr="00BB0C03" w:rsidRDefault="00BB0C03" w:rsidP="004C60C9">
      <w:pPr>
        <w:spacing w:after="0" w:line="240" w:lineRule="auto"/>
        <w:jc w:val="both"/>
        <w:rPr>
          <w:rFonts w:ascii="AvenirNext LT Pro Regular" w:eastAsia="Times New Roman" w:hAnsi="AvenirNext LT Pro Regular" w:cs="Times New Roman"/>
          <w:color w:val="000000"/>
        </w:rPr>
      </w:pPr>
      <w:r w:rsidRPr="00BB0C03">
        <w:rPr>
          <w:rFonts w:ascii="AvenirNext LT Pro Regular" w:eastAsia="Times New Roman" w:hAnsi="AvenirNext LT Pro Regular" w:cs="Times New Roman"/>
          <w:color w:val="000000"/>
        </w:rPr>
        <w:t>This course provides an in-depth and immersive introduction to the theories and methods of landscape archaeology. Using the Mediterranean world as a laboratory, students will explore the ways in which landscape archaeology is used to interpret social, economic, and political structures of the past, employing applications/techniques from archaeology, anthropology, classics, geology, and other cognate disciplines.</w:t>
      </w:r>
    </w:p>
    <w:p w:rsidR="00BB0C03" w:rsidRPr="00BB0C03" w:rsidRDefault="00BB0C03" w:rsidP="004C60C9">
      <w:pPr>
        <w:spacing w:after="0" w:line="240" w:lineRule="auto"/>
        <w:jc w:val="both"/>
        <w:rPr>
          <w:rFonts w:ascii="AvenirNext LT Pro Regular" w:eastAsia="Times New Roman" w:hAnsi="AvenirNext LT Pro Regular" w:cs="Times New Roman"/>
          <w:color w:val="000000"/>
          <w:sz w:val="20"/>
        </w:rPr>
      </w:pPr>
    </w:p>
    <w:p w:rsidR="00000389" w:rsidRPr="00BB0C03" w:rsidRDefault="00000389" w:rsidP="004C60C9">
      <w:pPr>
        <w:spacing w:after="0" w:line="240" w:lineRule="auto"/>
        <w:jc w:val="both"/>
        <w:rPr>
          <w:rFonts w:ascii="AvenirNext LT Pro Regular" w:hAnsi="AvenirNext LT Pro Regular"/>
          <w:sz w:val="20"/>
        </w:rPr>
      </w:pPr>
    </w:p>
    <w:p w:rsidR="00000389" w:rsidRDefault="00000389" w:rsidP="004C60C9">
      <w:pPr>
        <w:spacing w:after="0" w:line="240" w:lineRule="auto"/>
        <w:jc w:val="both"/>
        <w:rPr>
          <w:rFonts w:ascii="AvenirNext LT Pro Regular" w:hAnsi="AvenirNext LT Pro Regular"/>
          <w:sz w:val="20"/>
        </w:rPr>
      </w:pPr>
    </w:p>
    <w:p w:rsidR="00360271" w:rsidRDefault="00360271" w:rsidP="004C60C9">
      <w:pPr>
        <w:spacing w:after="0" w:line="240" w:lineRule="auto"/>
        <w:jc w:val="both"/>
        <w:rPr>
          <w:rFonts w:ascii="AvenirNext LT Pro Regular" w:hAnsi="AvenirNext LT Pro Regular"/>
          <w:b/>
          <w:sz w:val="28"/>
          <w:u w:val="single"/>
        </w:rPr>
      </w:pPr>
      <w:r>
        <w:rPr>
          <w:rFonts w:ascii="AvenirNext LT Pro Regular" w:hAnsi="AvenirNext LT Pro Regular"/>
          <w:b/>
          <w:sz w:val="28"/>
          <w:u w:val="single"/>
        </w:rPr>
        <w:t>Social Sciences</w:t>
      </w:r>
      <w:r w:rsidRPr="00BB0C03">
        <w:rPr>
          <w:rFonts w:ascii="AvenirNext LT Pro Regular" w:hAnsi="AvenirNext LT Pro Regular"/>
          <w:b/>
          <w:sz w:val="28"/>
          <w:u w:val="single"/>
        </w:rPr>
        <w:t xml:space="preserve"> </w:t>
      </w:r>
      <w:r>
        <w:rPr>
          <w:rFonts w:ascii="AvenirNext LT Pro Regular" w:hAnsi="AvenirNext LT Pro Regular"/>
          <w:b/>
          <w:sz w:val="28"/>
          <w:u w:val="single"/>
        </w:rPr>
        <w:t xml:space="preserve">Interdisciplinary  </w:t>
      </w:r>
    </w:p>
    <w:p w:rsidR="00360271" w:rsidRDefault="00360271" w:rsidP="004C60C9">
      <w:pPr>
        <w:spacing w:after="0" w:line="240" w:lineRule="auto"/>
        <w:jc w:val="both"/>
        <w:rPr>
          <w:rFonts w:ascii="AvenirNext LT Pro Regular" w:hAnsi="AvenirNext LT Pro Regular"/>
          <w:b/>
        </w:rPr>
      </w:pPr>
    </w:p>
    <w:p w:rsidR="00360271" w:rsidRDefault="00360271" w:rsidP="004C60C9">
      <w:pPr>
        <w:spacing w:after="0" w:line="240" w:lineRule="auto"/>
        <w:jc w:val="both"/>
        <w:rPr>
          <w:rFonts w:ascii="AvenirNext LT Pro Regular" w:hAnsi="AvenirNext LT Pro Regular"/>
          <w:b/>
        </w:rPr>
      </w:pPr>
      <w:r>
        <w:rPr>
          <w:rFonts w:ascii="AvenirNext LT Pro Regular" w:hAnsi="AvenirNext LT Pro Regular"/>
          <w:b/>
        </w:rPr>
        <w:t xml:space="preserve">HONS 382 </w:t>
      </w:r>
      <w:r w:rsidRPr="00BB0C03">
        <w:rPr>
          <w:rFonts w:ascii="AvenirNext LT Pro Regular" w:hAnsi="AvenirNext LT Pro Regular"/>
          <w:b/>
        </w:rPr>
        <w:t>Doing Time: Living, Working and Dying Behind Bars</w:t>
      </w:r>
      <w:r>
        <w:rPr>
          <w:rFonts w:ascii="AvenirNext LT Pro Regular" w:hAnsi="AvenirNext LT Pro Regular"/>
          <w:b/>
        </w:rPr>
        <w:t xml:space="preserve"> (Professor Heath Hoffmann)</w:t>
      </w:r>
    </w:p>
    <w:p w:rsidR="00360271" w:rsidRPr="00BB0C03" w:rsidRDefault="00360271" w:rsidP="004C60C9">
      <w:pPr>
        <w:spacing w:after="0" w:line="240" w:lineRule="auto"/>
        <w:jc w:val="both"/>
        <w:rPr>
          <w:rFonts w:ascii="AvenirNext LT Pro Regular" w:eastAsia="Times New Roman" w:hAnsi="AvenirNext LT Pro Regular" w:cs="Times New Roman"/>
          <w:color w:val="000000"/>
        </w:rPr>
      </w:pPr>
      <w:r w:rsidRPr="00BB0C03">
        <w:rPr>
          <w:rFonts w:ascii="AvenirNext LT Pro Regular" w:eastAsia="Times New Roman" w:hAnsi="AvenirNext LT Pro Regular" w:cs="Times New Roman"/>
          <w:color w:val="000000"/>
        </w:rPr>
        <w:t xml:space="preserve">In this class we will examine how everyday life is organized for those who are incarcerated in state and federal prisons. The organization of friendships, love, sex, food, work, and recreation will be explored as will the changes to self and coping mechanisms that result from being incarcerated. We will also discuss the impact that working in prison has on physicians, nurses, dentists and correctional officers in terms of mental health, their relationships and the “courtesy stigma” associated with working inside prison with offenders. Finally, we will examine how those in prison experience end-of-life, how prisons respond to providing care for those who are terminally </w:t>
      </w:r>
      <w:proofErr w:type="gramStart"/>
      <w:r w:rsidRPr="00BB0C03">
        <w:rPr>
          <w:rFonts w:ascii="AvenirNext LT Pro Regular" w:eastAsia="Times New Roman" w:hAnsi="AvenirNext LT Pro Regular" w:cs="Times New Roman"/>
          <w:color w:val="000000"/>
        </w:rPr>
        <w:t>ill</w:t>
      </w:r>
      <w:proofErr w:type="gramEnd"/>
      <w:r w:rsidRPr="00BB0C03">
        <w:rPr>
          <w:rFonts w:ascii="AvenirNext LT Pro Regular" w:eastAsia="Times New Roman" w:hAnsi="AvenirNext LT Pro Regular" w:cs="Times New Roman"/>
          <w:color w:val="000000"/>
        </w:rPr>
        <w:t xml:space="preserve"> and the role played by those who are incarcerated in providing end-of-life care to dying inmates. </w:t>
      </w:r>
    </w:p>
    <w:bookmarkEnd w:id="0"/>
    <w:p w:rsidR="00360271" w:rsidRPr="00BB0C03" w:rsidRDefault="00360271" w:rsidP="004C60C9">
      <w:pPr>
        <w:spacing w:after="0" w:line="240" w:lineRule="auto"/>
        <w:jc w:val="both"/>
        <w:rPr>
          <w:rFonts w:ascii="AvenirNext LT Pro Regular" w:hAnsi="AvenirNext LT Pro Regular"/>
          <w:sz w:val="20"/>
        </w:rPr>
      </w:pPr>
    </w:p>
    <w:p w:rsidR="00000389" w:rsidRPr="00000389" w:rsidRDefault="00000389" w:rsidP="004C60C9">
      <w:pPr>
        <w:spacing w:after="0" w:line="240" w:lineRule="auto"/>
        <w:jc w:val="both"/>
        <w:rPr>
          <w:rFonts w:ascii="AvenirNext LT Pro Regular" w:hAnsi="AvenirNext LT Pro Regular"/>
        </w:rPr>
      </w:pPr>
    </w:p>
    <w:p w:rsidR="00000389" w:rsidRPr="00000389" w:rsidRDefault="00000389" w:rsidP="004C60C9">
      <w:pPr>
        <w:spacing w:after="0" w:line="240" w:lineRule="auto"/>
        <w:jc w:val="both"/>
        <w:rPr>
          <w:rFonts w:ascii="AvenirNext LT Pro Regular" w:hAnsi="AvenirNext LT Pro Regular"/>
          <w:b/>
          <w:sz w:val="28"/>
        </w:rPr>
      </w:pPr>
    </w:p>
    <w:sectPr w:rsidR="00000389" w:rsidRPr="00000389" w:rsidSect="008C41B4">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venirNext LT Pro Regular">
    <w:panose1 w:val="020B0503020202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389"/>
    <w:rsid w:val="00000389"/>
    <w:rsid w:val="00284DFB"/>
    <w:rsid w:val="003462BA"/>
    <w:rsid w:val="00360271"/>
    <w:rsid w:val="004076D8"/>
    <w:rsid w:val="004C60C9"/>
    <w:rsid w:val="00880F59"/>
    <w:rsid w:val="008C41B4"/>
    <w:rsid w:val="00942616"/>
    <w:rsid w:val="00BB0C03"/>
    <w:rsid w:val="00C3090B"/>
    <w:rsid w:val="00D1131B"/>
    <w:rsid w:val="00F92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DA9FB"/>
  <w15:chartTrackingRefBased/>
  <w15:docId w15:val="{ED76DCA8-5F6B-4D7B-9238-735E6431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153877">
      <w:bodyDiv w:val="1"/>
      <w:marLeft w:val="0"/>
      <w:marRight w:val="0"/>
      <w:marTop w:val="0"/>
      <w:marBottom w:val="0"/>
      <w:divBdr>
        <w:top w:val="none" w:sz="0" w:space="0" w:color="auto"/>
        <w:left w:val="none" w:sz="0" w:space="0" w:color="auto"/>
        <w:bottom w:val="none" w:sz="0" w:space="0" w:color="auto"/>
        <w:right w:val="none" w:sz="0" w:space="0" w:color="auto"/>
      </w:divBdr>
    </w:div>
    <w:div w:id="548224212">
      <w:bodyDiv w:val="1"/>
      <w:marLeft w:val="0"/>
      <w:marRight w:val="0"/>
      <w:marTop w:val="0"/>
      <w:marBottom w:val="0"/>
      <w:divBdr>
        <w:top w:val="none" w:sz="0" w:space="0" w:color="auto"/>
        <w:left w:val="none" w:sz="0" w:space="0" w:color="auto"/>
        <w:bottom w:val="none" w:sz="0" w:space="0" w:color="auto"/>
        <w:right w:val="none" w:sz="0" w:space="0" w:color="auto"/>
      </w:divBdr>
    </w:div>
    <w:div w:id="632060288">
      <w:bodyDiv w:val="1"/>
      <w:marLeft w:val="0"/>
      <w:marRight w:val="0"/>
      <w:marTop w:val="0"/>
      <w:marBottom w:val="0"/>
      <w:divBdr>
        <w:top w:val="none" w:sz="0" w:space="0" w:color="auto"/>
        <w:left w:val="none" w:sz="0" w:space="0" w:color="auto"/>
        <w:bottom w:val="none" w:sz="0" w:space="0" w:color="auto"/>
        <w:right w:val="none" w:sz="0" w:space="0" w:color="auto"/>
      </w:divBdr>
    </w:div>
    <w:div w:id="764887942">
      <w:bodyDiv w:val="1"/>
      <w:marLeft w:val="0"/>
      <w:marRight w:val="0"/>
      <w:marTop w:val="0"/>
      <w:marBottom w:val="0"/>
      <w:divBdr>
        <w:top w:val="none" w:sz="0" w:space="0" w:color="auto"/>
        <w:left w:val="none" w:sz="0" w:space="0" w:color="auto"/>
        <w:bottom w:val="none" w:sz="0" w:space="0" w:color="auto"/>
        <w:right w:val="none" w:sz="0" w:space="0" w:color="auto"/>
      </w:divBdr>
    </w:div>
    <w:div w:id="950864834">
      <w:bodyDiv w:val="1"/>
      <w:marLeft w:val="0"/>
      <w:marRight w:val="0"/>
      <w:marTop w:val="0"/>
      <w:marBottom w:val="0"/>
      <w:divBdr>
        <w:top w:val="none" w:sz="0" w:space="0" w:color="auto"/>
        <w:left w:val="none" w:sz="0" w:space="0" w:color="auto"/>
        <w:bottom w:val="none" w:sz="0" w:space="0" w:color="auto"/>
        <w:right w:val="none" w:sz="0" w:space="0" w:color="auto"/>
      </w:divBdr>
    </w:div>
    <w:div w:id="178874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Maria Mansfield</dc:creator>
  <cp:keywords/>
  <dc:description/>
  <cp:lastModifiedBy>Richardson, Maria Mansfield</cp:lastModifiedBy>
  <cp:revision>4</cp:revision>
  <dcterms:created xsi:type="dcterms:W3CDTF">2018-03-08T18:51:00Z</dcterms:created>
  <dcterms:modified xsi:type="dcterms:W3CDTF">2018-03-13T19:15:00Z</dcterms:modified>
</cp:coreProperties>
</file>